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ECA" w:rsidP="00D93ECA" w:rsidRDefault="00D93ECA" w14:paraId="694DCF93" w14:textId="79E1A474">
      <w:pPr>
        <w:spacing w:after="0" w:line="36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DESIGNER </w:t>
      </w:r>
      <w:r w:rsidR="00A8067D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S</w:t>
      </w:r>
      <w:r w:rsidR="007A542F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PECIFICATION</w:t>
      </w:r>
    </w:p>
    <w:p w:rsidR="00A8067D" w:rsidP="00D93ECA" w:rsidRDefault="007A542F" w14:paraId="626E4586" w14:textId="79E1DFA6">
      <w:pPr>
        <w:spacing w:after="0" w:line="36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SECTION </w:t>
      </w:r>
      <w:r w:rsidR="00A8067D"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 13</w:t>
      </w: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 11 00</w:t>
      </w:r>
    </w:p>
    <w:p w:rsidR="007A542F" w:rsidP="00D93ECA" w:rsidRDefault="007A542F" w14:paraId="2251BC3D" w14:textId="739A3593">
      <w:pPr>
        <w:spacing w:after="0" w:line="36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/>
          <w:b/>
          <w:bCs/>
          <w:sz w:val="24"/>
          <w:szCs w:val="24"/>
          <w:u w:val="single"/>
        </w:rPr>
        <w:t>SWIMMING POOLS</w:t>
      </w:r>
    </w:p>
    <w:p w:rsidR="00A8067D" w:rsidP="002168C1" w:rsidRDefault="00A8067D" w14:paraId="09295DE0" w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</w:p>
    <w:p w:rsidRPr="00EE7ED5" w:rsidR="002168C1" w:rsidP="002168C1" w:rsidRDefault="002168C1" w14:paraId="17D34286" w14:textId="05EC7EE9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 w:rsidRPr="00EE7ED5">
        <w:rPr>
          <w:rFonts w:ascii="Times New Roman" w:hAnsi="Times New Roman" w:eastAsia="Times New Roman"/>
          <w:b/>
          <w:bCs/>
          <w:sz w:val="24"/>
          <w:szCs w:val="24"/>
          <w:u w:val="single"/>
        </w:rPr>
        <w:t xml:space="preserve">Perimeter Lane Line Anchor </w:t>
      </w:r>
      <w:r w:rsidR="00EC4277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Unit</w:t>
      </w:r>
    </w:p>
    <w:p w:rsidRPr="00EE7ED5" w:rsidR="002168C1" w:rsidP="002168C1" w:rsidRDefault="002168C1" w14:paraId="1EABC17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EE7ED5" w:rsidR="002168C1" w:rsidP="002168C1" w:rsidRDefault="002168C1" w14:paraId="3E2A6B5E" w14:textId="20558A21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E7ED5">
        <w:rPr>
          <w:rFonts w:ascii="Times New Roman" w:hAnsi="Times New Roman" w:eastAsia="Times New Roman"/>
          <w:sz w:val="24"/>
          <w:szCs w:val="24"/>
        </w:rPr>
        <w:t xml:space="preserve">The lane line anchor </w:t>
      </w:r>
      <w:r w:rsidR="00EC4277">
        <w:rPr>
          <w:rFonts w:ascii="Times New Roman" w:hAnsi="Times New Roman" w:eastAsia="Times New Roman"/>
          <w:sz w:val="24"/>
          <w:szCs w:val="24"/>
        </w:rPr>
        <w:t>unit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1</w:t>
      </w:r>
      <w:r w:rsidR="00C87447">
        <w:rPr>
          <w:rFonts w:ascii="Times New Roman" w:hAnsi="Times New Roman" w:eastAsia="Times New Roman"/>
          <w:sz w:val="24"/>
          <w:szCs w:val="24"/>
        </w:rPr>
        <w:t>2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” </w:t>
      </w:r>
      <w:r w:rsidRPr="00EE7ED5">
        <w:rPr>
          <w:rFonts w:ascii="Times New Roman" w:hAnsi="Times New Roman" w:eastAsia="Times New Roman"/>
          <w:i/>
          <w:color w:val="0070C0"/>
          <w:sz w:val="24"/>
          <w:szCs w:val="24"/>
        </w:rPr>
        <w:t>(</w:t>
      </w:r>
      <w:r w:rsidR="00EC4277">
        <w:rPr>
          <w:rFonts w:ascii="Times New Roman" w:hAnsi="Times New Roman" w:eastAsia="Times New Roman"/>
          <w:i/>
          <w:color w:val="0070C0"/>
          <w:sz w:val="24"/>
          <w:szCs w:val="24"/>
        </w:rPr>
        <w:t>1</w:t>
      </w:r>
      <w:r w:rsidR="00C87447">
        <w:rPr>
          <w:rFonts w:ascii="Times New Roman" w:hAnsi="Times New Roman" w:eastAsia="Times New Roman"/>
          <w:i/>
          <w:color w:val="0070C0"/>
          <w:sz w:val="24"/>
          <w:szCs w:val="24"/>
        </w:rPr>
        <w:t>4</w:t>
      </w:r>
      <w:r w:rsidR="00EC4277">
        <w:rPr>
          <w:rFonts w:ascii="Times New Roman" w:hAnsi="Times New Roman" w:eastAsia="Times New Roman"/>
          <w:i/>
          <w:color w:val="0070C0"/>
          <w:sz w:val="24"/>
          <w:szCs w:val="24"/>
        </w:rPr>
        <w:t xml:space="preserve">” </w:t>
      </w:r>
      <w:r w:rsidR="00A8067D">
        <w:rPr>
          <w:rFonts w:ascii="Times New Roman" w:hAnsi="Times New Roman" w:eastAsia="Times New Roman"/>
          <w:i/>
          <w:color w:val="0070C0"/>
          <w:sz w:val="24"/>
          <w:szCs w:val="24"/>
        </w:rPr>
        <w:t>1</w:t>
      </w:r>
      <w:r w:rsidR="00C87447">
        <w:rPr>
          <w:rFonts w:ascii="Times New Roman" w:hAnsi="Times New Roman" w:eastAsia="Times New Roman"/>
          <w:i/>
          <w:color w:val="0070C0"/>
          <w:sz w:val="24"/>
          <w:szCs w:val="24"/>
        </w:rPr>
        <w:t>6</w:t>
      </w:r>
      <w:r w:rsidR="00A8067D">
        <w:rPr>
          <w:rFonts w:ascii="Times New Roman" w:hAnsi="Times New Roman" w:eastAsia="Times New Roman"/>
          <w:i/>
          <w:color w:val="0070C0"/>
          <w:sz w:val="24"/>
          <w:szCs w:val="24"/>
        </w:rPr>
        <w:t>”</w:t>
      </w:r>
      <w:r w:rsidRPr="00EE7ED5">
        <w:rPr>
          <w:rFonts w:ascii="Times New Roman" w:hAnsi="Times New Roman" w:eastAsia="Times New Roman"/>
          <w:i/>
          <w:color w:val="0070C0"/>
          <w:sz w:val="24"/>
          <w:szCs w:val="24"/>
        </w:rPr>
        <w:t>)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</w:t>
      </w:r>
      <w:r w:rsidR="00EC4277">
        <w:rPr>
          <w:rFonts w:ascii="Times New Roman" w:hAnsi="Times New Roman" w:eastAsia="Times New Roman"/>
          <w:sz w:val="24"/>
          <w:szCs w:val="24"/>
        </w:rPr>
        <w:t>x 2” wide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, must be non-corrosive and not require bonding. The unit shall be formed of two </w:t>
      </w:r>
      <w:proofErr w:type="spellStart"/>
      <w:r w:rsidRPr="00EE7ED5">
        <w:rPr>
          <w:rFonts w:ascii="Times New Roman" w:hAnsi="Times New Roman" w:eastAsia="Times New Roman"/>
          <w:sz w:val="24"/>
          <w:szCs w:val="24"/>
        </w:rPr>
        <w:t>molded</w:t>
      </w:r>
      <w:proofErr w:type="spellEnd"/>
      <w:r w:rsidRPr="00EE7ED5">
        <w:rPr>
          <w:rFonts w:ascii="Times New Roman" w:hAnsi="Times New Roman" w:eastAsia="Times New Roman"/>
          <w:sz w:val="24"/>
          <w:szCs w:val="24"/>
        </w:rPr>
        <w:t xml:space="preserve"> PVC sections, certified</w:t>
      </w:r>
      <w:r w:rsidR="003C0150">
        <w:rPr>
          <w:rFonts w:ascii="Times New Roman" w:hAnsi="Times New Roman" w:eastAsia="Times New Roman"/>
          <w:sz w:val="24"/>
          <w:szCs w:val="24"/>
        </w:rPr>
        <w:t xml:space="preserve"> </w:t>
      </w:r>
      <w:r w:rsidRPr="00EE7ED5">
        <w:rPr>
          <w:rFonts w:ascii="Times New Roman" w:hAnsi="Times New Roman" w:eastAsia="Times New Roman"/>
          <w:sz w:val="24"/>
          <w:szCs w:val="24"/>
        </w:rPr>
        <w:t>ANSI</w:t>
      </w:r>
      <w:r w:rsidR="003C0150">
        <w:rPr>
          <w:rFonts w:ascii="Times New Roman" w:hAnsi="Times New Roman" w:eastAsia="Times New Roman"/>
          <w:sz w:val="24"/>
          <w:szCs w:val="24"/>
        </w:rPr>
        <w:t>/NSF</w:t>
      </w:r>
      <w:r w:rsidRPr="00EE7ED5">
        <w:rPr>
          <w:rFonts w:ascii="Times New Roman" w:hAnsi="Times New Roman" w:eastAsia="Times New Roman"/>
          <w:sz w:val="24"/>
          <w:szCs w:val="24"/>
        </w:rPr>
        <w:t>/CAN 50-2020</w:t>
      </w:r>
      <w:r w:rsidR="003C0150">
        <w:rPr>
          <w:rFonts w:ascii="Times New Roman" w:hAnsi="Times New Roman" w:eastAsia="Times New Roman"/>
          <w:sz w:val="24"/>
          <w:szCs w:val="24"/>
        </w:rPr>
        <w:t xml:space="preserve"> (Section 22.3)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, that are UV stabilized, these </w:t>
      </w:r>
      <w:r w:rsidR="00EE7ED5">
        <w:rPr>
          <w:rFonts w:ascii="Times New Roman" w:hAnsi="Times New Roman" w:eastAsia="Times New Roman"/>
          <w:sz w:val="24"/>
          <w:szCs w:val="24"/>
        </w:rPr>
        <w:t xml:space="preserve">sections 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are a top opening flip-up grate </w:t>
      </w:r>
      <w:r w:rsidR="003C0150">
        <w:rPr>
          <w:rFonts w:ascii="Times New Roman" w:hAnsi="Times New Roman" w:eastAsia="Times New Roman"/>
          <w:sz w:val="24"/>
          <w:szCs w:val="24"/>
        </w:rPr>
        <w:t xml:space="preserve">hatch 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section connected to a base </w:t>
      </w:r>
      <w:r w:rsidR="003C0150">
        <w:rPr>
          <w:rFonts w:ascii="Times New Roman" w:hAnsi="Times New Roman" w:eastAsia="Times New Roman"/>
          <w:sz w:val="24"/>
          <w:szCs w:val="24"/>
        </w:rPr>
        <w:t xml:space="preserve">unit 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section with a 316SS pin. The grate on the top opening </w:t>
      </w:r>
      <w:r w:rsidR="00EE7ED5">
        <w:rPr>
          <w:rFonts w:ascii="Times New Roman" w:hAnsi="Times New Roman" w:eastAsia="Times New Roman"/>
          <w:sz w:val="24"/>
          <w:szCs w:val="24"/>
        </w:rPr>
        <w:t xml:space="preserve">flip-up grate </w:t>
      </w:r>
      <w:r w:rsidR="003C0150">
        <w:rPr>
          <w:rFonts w:ascii="Times New Roman" w:hAnsi="Times New Roman" w:eastAsia="Times New Roman"/>
          <w:sz w:val="24"/>
          <w:szCs w:val="24"/>
        </w:rPr>
        <w:t xml:space="preserve">hatch 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section shall have a raised herringbone design and certified to AS 4586-2013 Class C for Wet-Barefoot inclining platform (ramp) test for swimming pool surroundings. Grate sections shall be 0.47” (12mm) wide and an outside depth of 1.0” (25.4mm) with a middle depth of 1.83” (46.6mm) for load strength requirements. The space between grate bars shall not exceed 0.315” (8mm) to comply with </w:t>
      </w:r>
      <w:r w:rsidRPr="00EE7ED5" w:rsidR="00EE7ED5">
        <w:rPr>
          <w:rFonts w:ascii="Times New Roman" w:hAnsi="Times New Roman" w:eastAsia="Times New Roman"/>
          <w:sz w:val="24"/>
          <w:szCs w:val="24"/>
        </w:rPr>
        <w:t>ANSI/APSP/ICC-16 2017</w:t>
      </w:r>
      <w:r w:rsidR="00EE7ED5">
        <w:rPr>
          <w:rFonts w:ascii="Times New Roman" w:hAnsi="Times New Roman"/>
          <w:sz w:val="24"/>
          <w:szCs w:val="24"/>
        </w:rPr>
        <w:t xml:space="preserve"> (and </w:t>
      </w:r>
      <w:r w:rsidRPr="00EE7ED5">
        <w:rPr>
          <w:rFonts w:ascii="Times New Roman" w:hAnsi="Times New Roman" w:eastAsia="Times New Roman"/>
          <w:sz w:val="24"/>
          <w:szCs w:val="24"/>
        </w:rPr>
        <w:t>BS EN 13451</w:t>
      </w:r>
      <w:r w:rsidR="00EE7ED5">
        <w:rPr>
          <w:rFonts w:ascii="Times New Roman" w:hAnsi="Times New Roman" w:eastAsia="Times New Roman"/>
          <w:sz w:val="24"/>
          <w:szCs w:val="24"/>
        </w:rPr>
        <w:t>)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</w:t>
      </w:r>
      <w:r w:rsidR="00EE7ED5">
        <w:rPr>
          <w:rFonts w:ascii="Times New Roman" w:hAnsi="Times New Roman" w:eastAsia="Times New Roman"/>
          <w:sz w:val="24"/>
          <w:szCs w:val="24"/>
        </w:rPr>
        <w:t xml:space="preserve">for </w:t>
      </w:r>
      <w:r w:rsidRPr="00EE7ED5">
        <w:rPr>
          <w:rFonts w:ascii="Times New Roman" w:hAnsi="Times New Roman" w:eastAsia="Times New Roman"/>
          <w:sz w:val="24"/>
          <w:szCs w:val="24"/>
        </w:rPr>
        <w:t>finger</w:t>
      </w:r>
      <w:r w:rsidR="00EE7ED5">
        <w:rPr>
          <w:rFonts w:ascii="Times New Roman" w:hAnsi="Times New Roman" w:eastAsia="Times New Roman"/>
          <w:sz w:val="24"/>
          <w:szCs w:val="24"/>
        </w:rPr>
        <w:t xml:space="preserve"> and limb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entrapment. The grate surface bars shall run parallel to the pool wall and with the gap providing at least 40% open space per foot for unrestricted water flow.</w:t>
      </w:r>
    </w:p>
    <w:p w:rsidRPr="00EE7ED5" w:rsidR="002168C1" w:rsidP="002168C1" w:rsidRDefault="002168C1" w14:paraId="7C65CD43" w14:textId="44F4138A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2F003C6B" w:rsidR="002168C1">
        <w:rPr>
          <w:rFonts w:ascii="Times New Roman" w:hAnsi="Times New Roman" w:eastAsia="Times New Roman"/>
          <w:sz w:val="24"/>
          <w:szCs w:val="24"/>
        </w:rPr>
        <w:t xml:space="preserve">The lane line anchor </w:t>
      </w:r>
      <w:r w:rsidRPr="2F003C6B" w:rsidR="00EC4277">
        <w:rPr>
          <w:rFonts w:ascii="Times New Roman" w:hAnsi="Times New Roman" w:eastAsia="Times New Roman"/>
          <w:sz w:val="24"/>
          <w:szCs w:val="24"/>
        </w:rPr>
        <w:t>unit</w:t>
      </w:r>
      <w:r w:rsidRPr="2F003C6B" w:rsidR="002168C1">
        <w:rPr>
          <w:rFonts w:ascii="Times New Roman" w:hAnsi="Times New Roman" w:eastAsia="Times New Roman"/>
          <w:sz w:val="24"/>
          <w:szCs w:val="24"/>
        </w:rPr>
        <w:t xml:space="preserve"> shall include a lane line extension constructed of a SS braided strap covered with silicon that is flexible and can be sto</w:t>
      </w:r>
      <w:r w:rsidRPr="2F003C6B" w:rsidR="00EE7ED5">
        <w:rPr>
          <w:rFonts w:ascii="Times New Roman" w:hAnsi="Times New Roman" w:eastAsia="Times New Roman"/>
          <w:sz w:val="24"/>
          <w:szCs w:val="24"/>
        </w:rPr>
        <w:t>wed</w:t>
      </w:r>
      <w:r w:rsidRPr="2F003C6B" w:rsidR="002168C1">
        <w:rPr>
          <w:rFonts w:ascii="Times New Roman" w:hAnsi="Times New Roman" w:eastAsia="Times New Roman"/>
          <w:sz w:val="24"/>
          <w:szCs w:val="24"/>
        </w:rPr>
        <w:t xml:space="preserve"> within the unit and </w:t>
      </w:r>
      <w:r w:rsidRPr="2F003C6B" w:rsidR="002168C1">
        <w:rPr>
          <w:rFonts w:ascii="Times New Roman" w:hAnsi="Times New Roman" w:eastAsia="Times New Roman"/>
          <w:sz w:val="24"/>
          <w:szCs w:val="24"/>
        </w:rPr>
        <w:t>is capable of extending</w:t>
      </w:r>
      <w:r w:rsidRPr="2F003C6B" w:rsidR="002168C1">
        <w:rPr>
          <w:rFonts w:ascii="Times New Roman" w:hAnsi="Times New Roman" w:eastAsia="Times New Roman"/>
          <w:sz w:val="24"/>
          <w:szCs w:val="24"/>
        </w:rPr>
        <w:t xml:space="preserve"> beyond the unit to connect to the pool lane line S-hook</w:t>
      </w:r>
      <w:r w:rsidRPr="2F003C6B" w:rsidR="00CD4A24">
        <w:rPr>
          <w:rFonts w:ascii="Times New Roman" w:hAnsi="Times New Roman" w:eastAsia="Times New Roman"/>
          <w:sz w:val="24"/>
          <w:szCs w:val="24"/>
        </w:rPr>
        <w:t xml:space="preserve"> that is </w:t>
      </w:r>
      <w:r w:rsidRPr="2F003C6B" w:rsidR="00C87447">
        <w:rPr>
          <w:rFonts w:ascii="Times New Roman" w:hAnsi="Times New Roman" w:eastAsia="Times New Roman"/>
          <w:sz w:val="24"/>
          <w:szCs w:val="24"/>
        </w:rPr>
        <w:t>8</w:t>
      </w:r>
      <w:r w:rsidRPr="2F003C6B" w:rsidR="00CD4A24">
        <w:rPr>
          <w:rFonts w:ascii="Times New Roman" w:hAnsi="Times New Roman" w:eastAsia="Times New Roman"/>
          <w:sz w:val="24"/>
          <w:szCs w:val="24"/>
        </w:rPr>
        <w:t xml:space="preserve">” </w:t>
      </w:r>
      <w:r w:rsidRPr="2F003C6B" w:rsidR="00CD4A24">
        <w:rPr>
          <w:rFonts w:ascii="Times New Roman" w:hAnsi="Times New Roman" w:eastAsia="Times New Roman"/>
          <w:color w:val="2F5496" w:themeColor="accent1" w:themeTint="FF" w:themeShade="BF"/>
          <w:sz w:val="24"/>
          <w:szCs w:val="24"/>
        </w:rPr>
        <w:t>(</w:t>
      </w:r>
      <w:r w:rsidRPr="2F003C6B" w:rsidR="00C87447">
        <w:rPr>
          <w:rFonts w:ascii="Times New Roman" w:hAnsi="Times New Roman" w:eastAsia="Times New Roman"/>
          <w:color w:val="2F5496" w:themeColor="accent1" w:themeTint="FF" w:themeShade="BF"/>
          <w:sz w:val="24"/>
          <w:szCs w:val="24"/>
        </w:rPr>
        <w:t>1</w:t>
      </w:r>
      <w:r w:rsidRPr="2F003C6B" w:rsidR="5DB27B79">
        <w:rPr>
          <w:rFonts w:ascii="Times New Roman" w:hAnsi="Times New Roman" w:eastAsia="Times New Roman"/>
          <w:color w:val="2F5496" w:themeColor="accent1" w:themeTint="FF" w:themeShade="BF"/>
          <w:sz w:val="24"/>
          <w:szCs w:val="24"/>
        </w:rPr>
        <w:t>3</w:t>
      </w:r>
      <w:r w:rsidRPr="2F003C6B" w:rsidR="00CD4A24">
        <w:rPr>
          <w:rFonts w:ascii="Times New Roman" w:hAnsi="Times New Roman" w:eastAsia="Times New Roman"/>
          <w:color w:val="2F5496" w:themeColor="accent1" w:themeTint="FF" w:themeShade="BF"/>
          <w:sz w:val="24"/>
          <w:szCs w:val="24"/>
        </w:rPr>
        <w:t xml:space="preserve">”) </w:t>
      </w:r>
      <w:r w:rsidRPr="2F003C6B" w:rsidR="00CD4A24">
        <w:rPr>
          <w:rFonts w:ascii="Times New Roman" w:hAnsi="Times New Roman" w:eastAsia="Times New Roman"/>
          <w:sz w:val="24"/>
          <w:szCs w:val="24"/>
        </w:rPr>
        <w:t>long.</w:t>
      </w:r>
    </w:p>
    <w:p w:rsidRPr="00EE7ED5" w:rsidR="002168C1" w:rsidP="002168C1" w:rsidRDefault="002168C1" w14:paraId="6880748E" w14:textId="77777777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E7ED5" w:rsidR="002168C1" w:rsidP="002168C1" w:rsidRDefault="002168C1" w14:paraId="2304571C" w14:textId="04C6AAAA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E7ED5">
        <w:rPr>
          <w:rFonts w:ascii="Times New Roman" w:hAnsi="Times New Roman" w:eastAsia="Times New Roman"/>
          <w:sz w:val="24"/>
          <w:szCs w:val="24"/>
        </w:rPr>
        <w:t>The lane line anchor unit shall be tested to a load pull test of 1,</w:t>
      </w:r>
      <w:r w:rsidR="00EC4277">
        <w:rPr>
          <w:rFonts w:ascii="Times New Roman" w:hAnsi="Times New Roman" w:eastAsia="Times New Roman"/>
          <w:sz w:val="24"/>
          <w:szCs w:val="24"/>
        </w:rPr>
        <w:t>2</w:t>
      </w:r>
      <w:r w:rsidRPr="00EE7ED5">
        <w:rPr>
          <w:rFonts w:ascii="Times New Roman" w:hAnsi="Times New Roman" w:eastAsia="Times New Roman"/>
          <w:sz w:val="24"/>
          <w:szCs w:val="24"/>
        </w:rPr>
        <w:t>00lb minimum</w:t>
      </w:r>
      <w:r w:rsidR="00A35234">
        <w:rPr>
          <w:rFonts w:ascii="Times New Roman" w:hAnsi="Times New Roman" w:eastAsia="Times New Roman"/>
          <w:sz w:val="24"/>
          <w:szCs w:val="24"/>
        </w:rPr>
        <w:t xml:space="preserve"> based on 2500 psi concrete pour</w:t>
      </w:r>
      <w:r w:rsidRPr="00EE7ED5">
        <w:rPr>
          <w:rFonts w:ascii="Times New Roman" w:hAnsi="Times New Roman" w:eastAsia="Times New Roman"/>
          <w:sz w:val="24"/>
          <w:szCs w:val="24"/>
        </w:rPr>
        <w:t>.</w:t>
      </w:r>
    </w:p>
    <w:p w:rsidRPr="00EE7ED5" w:rsidR="002168C1" w:rsidP="002168C1" w:rsidRDefault="002168C1" w14:paraId="788E99BF" w14:textId="77777777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C87447" w:rsidP="00EE7ED5" w:rsidRDefault="002168C1" w14:paraId="70F449AC" w14:textId="77777777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E7ED5">
        <w:rPr>
          <w:rFonts w:ascii="Times New Roman" w:hAnsi="Times New Roman" w:eastAsia="Times New Roman"/>
          <w:sz w:val="24"/>
          <w:szCs w:val="24"/>
        </w:rPr>
        <w:t xml:space="preserve">The lane line anchor </w:t>
      </w:r>
      <w:r w:rsidR="00A8067D">
        <w:rPr>
          <w:rFonts w:ascii="Times New Roman" w:hAnsi="Times New Roman" w:eastAsia="Times New Roman"/>
          <w:sz w:val="24"/>
          <w:szCs w:val="24"/>
        </w:rPr>
        <w:t xml:space="preserve">unit </w:t>
      </w:r>
      <w:r w:rsidRPr="00EE7ED5">
        <w:rPr>
          <w:rFonts w:ascii="Times New Roman" w:hAnsi="Times New Roman" w:eastAsia="Times New Roman"/>
          <w:sz w:val="24"/>
          <w:szCs w:val="24"/>
        </w:rPr>
        <w:t>shall be secured</w:t>
      </w:r>
      <w:r w:rsidR="00A8067D">
        <w:rPr>
          <w:rFonts w:ascii="Times New Roman" w:hAnsi="Times New Roman" w:eastAsia="Times New Roman"/>
          <w:sz w:val="24"/>
          <w:szCs w:val="24"/>
        </w:rPr>
        <w:t xml:space="preserve"> in a perimeter concrete gutter system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with</w:t>
      </w:r>
    </w:p>
    <w:p w:rsidR="00EE7ED5" w:rsidP="00EE7ED5" w:rsidRDefault="002168C1" w14:paraId="791FFC24" w14:textId="548E0184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E7ED5">
        <w:rPr>
          <w:rFonts w:ascii="Times New Roman" w:hAnsi="Times New Roman" w:eastAsia="Times New Roman"/>
          <w:sz w:val="24"/>
          <w:szCs w:val="24"/>
        </w:rPr>
        <w:t>SS-316 drop</w:t>
      </w:r>
      <w:r w:rsidR="00EE7ED5">
        <w:rPr>
          <w:rFonts w:ascii="Times New Roman" w:hAnsi="Times New Roman" w:eastAsia="Times New Roman"/>
          <w:sz w:val="24"/>
          <w:szCs w:val="24"/>
        </w:rPr>
        <w:t>-</w:t>
      </w:r>
      <w:r w:rsidRPr="00EE7ED5">
        <w:rPr>
          <w:rFonts w:ascii="Times New Roman" w:hAnsi="Times New Roman" w:eastAsia="Times New Roman"/>
          <w:sz w:val="24"/>
          <w:szCs w:val="24"/>
        </w:rPr>
        <w:t>in anchor</w:t>
      </w:r>
      <w:r w:rsidR="00C87447">
        <w:rPr>
          <w:rFonts w:ascii="Times New Roman" w:hAnsi="Times New Roman" w:eastAsia="Times New Roman"/>
          <w:sz w:val="24"/>
          <w:szCs w:val="24"/>
        </w:rPr>
        <w:t>s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and </w:t>
      </w:r>
      <w:r w:rsidR="00C87447">
        <w:rPr>
          <w:rFonts w:ascii="Times New Roman" w:hAnsi="Times New Roman" w:eastAsia="Times New Roman"/>
          <w:sz w:val="24"/>
          <w:szCs w:val="24"/>
        </w:rPr>
        <w:t>socket head cap sc</w:t>
      </w:r>
      <w:r w:rsidR="00A35234">
        <w:rPr>
          <w:rFonts w:ascii="Times New Roman" w:hAnsi="Times New Roman" w:eastAsia="Times New Roman"/>
          <w:sz w:val="24"/>
          <w:szCs w:val="24"/>
        </w:rPr>
        <w:t>r</w:t>
      </w:r>
      <w:r w:rsidR="00C87447">
        <w:rPr>
          <w:rFonts w:ascii="Times New Roman" w:hAnsi="Times New Roman" w:eastAsia="Times New Roman"/>
          <w:sz w:val="24"/>
          <w:szCs w:val="24"/>
        </w:rPr>
        <w:t>ews</w:t>
      </w:r>
      <w:r w:rsidRPr="00EE7ED5">
        <w:rPr>
          <w:rFonts w:ascii="Times New Roman" w:hAnsi="Times New Roman" w:eastAsia="Times New Roman"/>
          <w:sz w:val="24"/>
          <w:szCs w:val="24"/>
        </w:rPr>
        <w:t xml:space="preserve"> as provided by the manufacturer.</w:t>
      </w:r>
    </w:p>
    <w:p w:rsidR="00EE7ED5" w:rsidP="00EE7ED5" w:rsidRDefault="00EE7ED5" w14:paraId="63E802B1" w14:textId="77777777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EE7ED5" w:rsidR="002168C1" w:rsidP="00EE7ED5" w:rsidRDefault="00EE7ED5" w14:paraId="74EE5EB9" w14:textId="444BF923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T</w:t>
      </w:r>
      <w:r w:rsidRPr="00EE7ED5" w:rsidR="002168C1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lane line anchor</w:t>
      </w:r>
      <w:r w:rsidRPr="00EE7ED5" w:rsidR="002168C1">
        <w:rPr>
          <w:rFonts w:ascii="Times New Roman" w:hAnsi="Times New Roman"/>
          <w:sz w:val="24"/>
          <w:szCs w:val="24"/>
        </w:rPr>
        <w:t xml:space="preserve"> unit </w:t>
      </w:r>
      <w:r w:rsidR="00A8067D">
        <w:rPr>
          <w:rFonts w:ascii="Times New Roman" w:hAnsi="Times New Roman"/>
          <w:sz w:val="24"/>
          <w:szCs w:val="24"/>
        </w:rPr>
        <w:t>shall be</w:t>
      </w:r>
      <w:r w:rsidRPr="00EE7ED5" w:rsidR="002168C1">
        <w:rPr>
          <w:rFonts w:ascii="Times New Roman" w:hAnsi="Times New Roman"/>
          <w:sz w:val="24"/>
          <w:szCs w:val="24"/>
        </w:rPr>
        <w:t xml:space="preserve"> designed to minimize the use of metallic substances thus avoiding the requirement of electrical bonding as per NEC 680.26 (c</w:t>
      </w:r>
      <w:proofErr w:type="gramStart"/>
      <w:r w:rsidRPr="00EE7ED5" w:rsidR="002168C1">
        <w:rPr>
          <w:rFonts w:ascii="Times New Roman" w:hAnsi="Times New Roman"/>
          <w:sz w:val="24"/>
          <w:szCs w:val="24"/>
        </w:rPr>
        <w:t>);</w:t>
      </w:r>
      <w:proofErr w:type="gramEnd"/>
    </w:p>
    <w:p w:rsidRPr="00EE7ED5" w:rsidR="002168C1" w:rsidP="002168C1" w:rsidRDefault="002168C1" w14:paraId="4E49E015" w14:textId="77777777">
      <w:pPr>
        <w:pStyle w:val="ListParagrap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="00CD4A24" w:rsidP="00A8067D" w:rsidRDefault="002168C1" w14:paraId="15E519F4" w14:textId="03EB7DCA">
      <w:pPr>
        <w:pStyle w:val="ListParagraph"/>
        <w:widowControl w:val="0"/>
        <w:spacing w:before="120" w:after="0" w:line="240" w:lineRule="auto"/>
        <w:outlineLvl w:val="2"/>
        <w:rPr>
          <w:rFonts w:ascii="Times New Roman" w:hAnsi="Times New Roman" w:eastAsia="Times New Roman"/>
          <w:color w:val="1F3864" w:themeColor="accent1" w:themeShade="80"/>
          <w:sz w:val="24"/>
          <w:szCs w:val="24"/>
          <w:lang w:val="en-US"/>
        </w:rPr>
      </w:pPr>
      <w:r w:rsidRPr="00EE7ED5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Lane Line Anchor </w:t>
      </w:r>
      <w:r w:rsidR="00EC4277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unit</w:t>
      </w:r>
      <w:r w:rsidRPr="00EE7ED5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 shall be DalFLEX-1</w:t>
      </w:r>
      <w:r w:rsidR="00C87447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2</w:t>
      </w:r>
      <w:r w:rsidRPr="00EE7ED5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 </w:t>
      </w:r>
      <w:r w:rsidR="00D33AD9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(</w:t>
      </w:r>
      <w:r w:rsidRPr="00D33AD9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 xml:space="preserve">or </w:t>
      </w:r>
      <w:r w:rsidR="00EC4277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>DalFLEX-1</w:t>
      </w:r>
      <w:r w:rsidR="00C87447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>4</w:t>
      </w:r>
      <w:r w:rsidR="00EC4277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 xml:space="preserve"> or </w:t>
      </w:r>
      <w:r w:rsidR="00A8067D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>DalFLEX-1</w:t>
      </w:r>
      <w:r w:rsidR="00C87447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>6</w:t>
      </w:r>
      <w:r w:rsidR="00D33AD9">
        <w:rPr>
          <w:rFonts w:ascii="Times New Roman" w:hAnsi="Times New Roman" w:eastAsia="Times New Roman"/>
          <w:i/>
          <w:iCs/>
          <w:color w:val="1F3864" w:themeColor="accent1" w:themeShade="80"/>
          <w:sz w:val="24"/>
          <w:szCs w:val="24"/>
          <w:lang w:val="en-US"/>
        </w:rPr>
        <w:t>)</w:t>
      </w:r>
      <w:r w:rsidR="00CD4A24">
        <w:rPr>
          <w:rFonts w:ascii="Times New Roman" w:hAnsi="Times New Roman" w:eastAsia="Times New Roman"/>
          <w:color w:val="1F3864" w:themeColor="accent1" w:themeShade="80"/>
          <w:sz w:val="24"/>
          <w:szCs w:val="24"/>
          <w:lang w:val="en-US"/>
        </w:rPr>
        <w:t>.</w:t>
      </w:r>
    </w:p>
    <w:p w:rsidRPr="00CD4A24" w:rsidR="00CD4A24" w:rsidP="00A8067D" w:rsidRDefault="00CD4A24" w14:paraId="0CAC0754" w14:textId="0023AA1D">
      <w:pPr>
        <w:pStyle w:val="ListParagraph"/>
        <w:widowControl w:val="0"/>
        <w:spacing w:before="120" w:after="0" w:line="240" w:lineRule="auto"/>
        <w:outlineLvl w:val="2"/>
        <w:rPr>
          <w:rFonts w:ascii="Times New Roman" w:hAnsi="Times New Roman" w:eastAsia="Times New Roman"/>
          <w:i/>
          <w:iCs/>
          <w:color w:val="2F5496" w:themeColor="accent1" w:themeShade="BF"/>
          <w:sz w:val="24"/>
          <w:szCs w:val="24"/>
          <w:lang w:val="en-US"/>
        </w:rPr>
      </w:pPr>
      <w:r>
        <w:rPr>
          <w:rFonts w:ascii="Times New Roman" w:hAnsi="Times New Roman" w:eastAsia="Times New Roman"/>
          <w:color w:val="1F3864" w:themeColor="accent1" w:themeShade="80"/>
          <w:sz w:val="24"/>
          <w:szCs w:val="24"/>
          <w:lang w:val="en-US"/>
        </w:rPr>
        <w:t>Color: white</w:t>
      </w:r>
      <w:r w:rsidR="00C87447">
        <w:rPr>
          <w:rFonts w:ascii="Times New Roman" w:hAnsi="Times New Roman" w:eastAsia="Times New Roman"/>
          <w:color w:val="1F3864" w:themeColor="accent1" w:themeShade="80"/>
          <w:sz w:val="24"/>
          <w:szCs w:val="24"/>
          <w:lang w:val="en-US"/>
        </w:rPr>
        <w:t xml:space="preserve"> only.</w:t>
      </w:r>
    </w:p>
    <w:p w:rsidR="00EC4277" w:rsidP="00A8067D" w:rsidRDefault="00CD4A24" w14:paraId="4DCB6C47" w14:textId="48D774E3">
      <w:pPr>
        <w:pStyle w:val="ListParagraph"/>
        <w:widowControl w:val="0"/>
        <w:spacing w:before="120" w:after="0" w:line="240" w:lineRule="auto"/>
        <w:outlineLvl w:val="2"/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</w:pPr>
      <w:r w:rsidRPr="00EE7ED5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A</w:t>
      </w:r>
      <w:r w:rsidRPr="00EE7ED5" w:rsidR="002168C1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s manufactured </w:t>
      </w:r>
      <w:r w:rsidR="00D33AD9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and supplied </w:t>
      </w:r>
      <w:r w:rsidRPr="00EE7ED5" w:rsidR="002168C1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by </w:t>
      </w:r>
      <w:proofErr w:type="spellStart"/>
      <w:r w:rsidRPr="00EE7ED5" w:rsidR="002168C1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Daldorado</w:t>
      </w:r>
      <w:proofErr w:type="spellEnd"/>
      <w:r w:rsidRPr="00EE7ED5" w:rsidR="002168C1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 xml:space="preserve"> LLC. Ph: (888) 5</w:t>
      </w:r>
      <w:r w:rsidRPr="00A8067D" w:rsidR="002168C1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09-8128.</w:t>
      </w:r>
    </w:p>
    <w:p w:rsidRPr="00A8067D" w:rsidR="00A8067D" w:rsidP="00A8067D" w:rsidRDefault="002168C1" w14:paraId="59D6023E" w14:textId="14E5C536">
      <w:pPr>
        <w:pStyle w:val="ListParagraph"/>
        <w:widowControl w:val="0"/>
        <w:spacing w:before="120" w:after="0" w:line="240" w:lineRule="auto"/>
        <w:outlineLvl w:val="2"/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</w:pPr>
      <w:r w:rsidRPr="00A8067D">
        <w:rPr>
          <w:rFonts w:ascii="Times New Roman" w:hAnsi="Times New Roman" w:eastAsia="Times New Roman"/>
          <w:color w:val="000000" w:themeColor="text1"/>
          <w:sz w:val="24"/>
          <w:szCs w:val="24"/>
          <w:lang w:val="en-US"/>
        </w:rPr>
        <w:t>No Known Equal.</w:t>
      </w:r>
    </w:p>
    <w:sectPr w:rsidRPr="00A8067D" w:rsidR="00A8067D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12C" w:rsidP="00A8067D" w:rsidRDefault="0072412C" w14:paraId="03E1AF9F" w14:textId="77777777">
      <w:pPr>
        <w:spacing w:after="0" w:line="240" w:lineRule="auto"/>
      </w:pPr>
      <w:r>
        <w:separator/>
      </w:r>
    </w:p>
  </w:endnote>
  <w:endnote w:type="continuationSeparator" w:id="0">
    <w:p w:rsidR="0072412C" w:rsidP="00A8067D" w:rsidRDefault="0072412C" w14:paraId="203777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12C" w:rsidP="00A8067D" w:rsidRDefault="0072412C" w14:paraId="70EEFC85" w14:textId="77777777">
      <w:pPr>
        <w:spacing w:after="0" w:line="240" w:lineRule="auto"/>
      </w:pPr>
      <w:r>
        <w:separator/>
      </w:r>
    </w:p>
  </w:footnote>
  <w:footnote w:type="continuationSeparator" w:id="0">
    <w:p w:rsidR="0072412C" w:rsidP="00A8067D" w:rsidRDefault="0072412C" w14:paraId="773268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236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ECA" w:rsidP="00D93ECA" w:rsidRDefault="00D93ECA" w14:paraId="08FAF1FA" w14:textId="57E416E1">
        <w:pPr>
          <w:pStyle w:val="Footer"/>
          <w:tabs>
            <w:tab w:val="left" w:pos="0"/>
          </w:tabs>
        </w:pPr>
        <w:r>
          <w:t xml:space="preserve">Updated: </w:t>
        </w:r>
        <w:r>
          <w:fldChar w:fldCharType="begin"/>
        </w:r>
        <w:r>
          <w:instrText xml:space="preserve"> DATE \@ "d MMMM yyyy" </w:instrText>
        </w:r>
        <w:r>
          <w:fldChar w:fldCharType="separate"/>
        </w:r>
        <w:r w:rsidR="003C0150">
          <w:rPr>
            <w:noProof/>
          </w:rPr>
          <w:t>2 May 2023</w:t>
        </w:r>
        <w:r>
          <w:fldChar w:fldCharType="end"/>
        </w:r>
        <w:r>
          <w:tab/>
        </w:r>
        <w:r>
          <w:tab/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:rsidR="00D93ECA" w:rsidRDefault="00D93ECA" w14:paraId="59DD60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18FA"/>
    <w:multiLevelType w:val="hybridMultilevel"/>
    <w:tmpl w:val="F1C24C7C"/>
    <w:lvl w:ilvl="0" w:tplc="E65E5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1279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1"/>
    <w:rsid w:val="002168C1"/>
    <w:rsid w:val="003C0150"/>
    <w:rsid w:val="0072412C"/>
    <w:rsid w:val="007A542F"/>
    <w:rsid w:val="00A35234"/>
    <w:rsid w:val="00A35FDE"/>
    <w:rsid w:val="00A8067D"/>
    <w:rsid w:val="00C87447"/>
    <w:rsid w:val="00CA4400"/>
    <w:rsid w:val="00CD4A24"/>
    <w:rsid w:val="00D33AD9"/>
    <w:rsid w:val="00D93ECA"/>
    <w:rsid w:val="00EC4277"/>
    <w:rsid w:val="00EE7ED5"/>
    <w:rsid w:val="2F003C6B"/>
    <w:rsid w:val="5DB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E706"/>
  <w15:chartTrackingRefBased/>
  <w15:docId w15:val="{439ABDF3-942A-4C1D-90BB-597CA9096F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8C1"/>
    <w:rPr>
      <w:rFonts w:ascii="Calibri" w:hAnsi="Calibri" w:eastAsia="Calibri" w:cs="Times New Roman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6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067D"/>
    <w:rPr>
      <w:rFonts w:ascii="Calibri" w:hAnsi="Calibri" w:eastAsia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06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067D"/>
    <w:rPr>
      <w:rFonts w:ascii="Calibri" w:hAnsi="Calibri" w:eastAsia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61c3715a8b4d4dc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41b2-cf59-47e3-86fc-7885533c6905}"/>
      </w:docPartPr>
      <w:docPartBody>
        <w:p w14:paraId="5DB27B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53D79886F0B40A63E714F81BFDB9D" ma:contentTypeVersion="20" ma:contentTypeDescription="Create a new document." ma:contentTypeScope="" ma:versionID="d41ac243e0c29bd3a9437ef63fc65f90">
  <xsd:schema xmlns:xsd="http://www.w3.org/2001/XMLSchema" xmlns:xs="http://www.w3.org/2001/XMLSchema" xmlns:p="http://schemas.microsoft.com/office/2006/metadata/properties" xmlns:ns2="710a601a-acf0-4cbe-9998-5aa82ddd24d3" xmlns:ns3="9249502c-400f-45a3-ad4e-fb9d5a7e04a5" targetNamespace="http://schemas.microsoft.com/office/2006/metadata/properties" ma:root="true" ma:fieldsID="06cf2f516cc5c117cb13b9fb2b6f7f57" ns2:_="" ns3:_="">
    <xsd:import namespace="710a601a-acf0-4cbe-9998-5aa82ddd24d3"/>
    <xsd:import namespace="9249502c-400f-45a3-ad4e-fb9d5a7e0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aster_x0020_pool_x0020_members_x0020_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STATUS" minOccurs="0"/>
                <xsd:element ref="ns3:ProjectCoordinato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601a-acf0-4cbe-9998-5aa82ddd2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ca6f31-01c8-4923-9c2b-0409154ff473}" ma:internalName="TaxCatchAll" ma:showField="CatchAllData" ma:web="710a601a-acf0-4cbe-9998-5aa82ddd2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02c-400f-45a3-ad4e-fb9d5a7e0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ster_x0020_pool_x0020_members_x0020_" ma:index="15" nillable="true" ma:displayName="master pool members " ma:internalName="master_x0020_pool_x0020_members_x0020_">
      <xsd:simpleType>
        <xsd:restriction base="dms:Text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b40a9b8-927f-4633-86fe-61490774d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ProjectCoordinator" ma:index="26" nillable="true" ma:displayName="Project Coordinator" ma:description="NOTES" ma:format="Dropdown" ma:internalName="ProjectCoordinator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a601a-acf0-4cbe-9998-5aa82ddd24d3" xsi:nil="true"/>
    <lcf76f155ced4ddcb4097134ff3c332f xmlns="9249502c-400f-45a3-ad4e-fb9d5a7e04a5">
      <Terms xmlns="http://schemas.microsoft.com/office/infopath/2007/PartnerControls"/>
    </lcf76f155ced4ddcb4097134ff3c332f>
    <master_x0020_pool_x0020_members_x0020_ xmlns="9249502c-400f-45a3-ad4e-fb9d5a7e04a5" xsi:nil="true"/>
    <ProjectCoordinator xmlns="9249502c-400f-45a3-ad4e-fb9d5a7e04a5" xsi:nil="true"/>
    <STATUS xmlns="9249502c-400f-45a3-ad4e-fb9d5a7e04a5" xsi:nil="true"/>
  </documentManagement>
</p:properties>
</file>

<file path=customXml/itemProps1.xml><?xml version="1.0" encoding="utf-8"?>
<ds:datastoreItem xmlns:ds="http://schemas.openxmlformats.org/officeDocument/2006/customXml" ds:itemID="{5E08A6B2-CC9B-46F9-94FB-A17F9E6F586C}"/>
</file>

<file path=customXml/itemProps2.xml><?xml version="1.0" encoding="utf-8"?>
<ds:datastoreItem xmlns:ds="http://schemas.openxmlformats.org/officeDocument/2006/customXml" ds:itemID="{0A7F8D5D-484F-481F-92F7-49E73B2CBCA2}"/>
</file>

<file path=customXml/itemProps3.xml><?xml version="1.0" encoding="utf-8"?>
<ds:datastoreItem xmlns:ds="http://schemas.openxmlformats.org/officeDocument/2006/customXml" ds:itemID="{937DD4C5-DE99-4CAE-8922-C7651E09EE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Soto</dc:creator>
  <cp:keywords/>
  <dc:description/>
  <cp:lastModifiedBy>Patricia Soto</cp:lastModifiedBy>
  <cp:revision>10</cp:revision>
  <dcterms:created xsi:type="dcterms:W3CDTF">2022-12-15T14:52:00Z</dcterms:created>
  <dcterms:modified xsi:type="dcterms:W3CDTF">2023-08-16T23:55:43Z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0x010100DD753D79886F0B40A63E714F81BFDB9D</vt:lpwstr>
  </property>
  <property fmtid="{D5CDD505-2E9C-101B-9397-08002B2CF9AE}" pid="3" name="MediaServiceImageTags">
    <vt:lpwstr/>
  </property>
</Properties>
</file>